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DC" w:rsidRDefault="009531B9" w:rsidP="009531B9">
      <w:pPr>
        <w:tabs>
          <w:tab w:val="left" w:pos="2160"/>
        </w:tabs>
      </w:pPr>
      <w:r>
        <w:tab/>
      </w:r>
    </w:p>
    <w:p w:rsidR="009531B9" w:rsidRDefault="009531B9" w:rsidP="009531B9">
      <w:pPr>
        <w:pStyle w:val="Default"/>
        <w:rPr>
          <w:b/>
          <w:bCs/>
          <w:sz w:val="22"/>
          <w:szCs w:val="22"/>
        </w:rPr>
      </w:pPr>
      <w:r>
        <w:rPr>
          <w:b/>
          <w:bCs/>
          <w:sz w:val="22"/>
          <w:szCs w:val="22"/>
        </w:rPr>
        <w:t xml:space="preserve">Article 7 - Indisponibilité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Les droits constitués au profit des bénéficiaires dont le versement n'a pas été demandé dans les conditions de l'article 6 ne sont négociables ou exigibles qu'à l'expiration d'un délai d'indisponibilité de 5 ans à compter du premier jour du cinquième mois suivant la clôture de l'exercice au titre duquel ils sont calculés.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Ces sommes peuvent, cependant, être négociables avant ce délai lors de la survenance de l'un des cas suivants : </w:t>
      </w:r>
    </w:p>
    <w:p w:rsidR="009531B9" w:rsidRDefault="009531B9" w:rsidP="009531B9">
      <w:pPr>
        <w:pStyle w:val="Default"/>
        <w:spacing w:after="17"/>
        <w:rPr>
          <w:sz w:val="22"/>
          <w:szCs w:val="22"/>
        </w:rPr>
      </w:pPr>
      <w:r>
        <w:rPr>
          <w:sz w:val="22"/>
          <w:szCs w:val="22"/>
        </w:rPr>
        <w:t xml:space="preserve">- mariage de l'intéressé ou conclusion d'un Pacs ; </w:t>
      </w:r>
    </w:p>
    <w:p w:rsidR="009531B9" w:rsidRDefault="009531B9" w:rsidP="009531B9">
      <w:pPr>
        <w:pStyle w:val="Default"/>
        <w:spacing w:after="17"/>
        <w:rPr>
          <w:sz w:val="22"/>
          <w:szCs w:val="22"/>
        </w:rPr>
      </w:pPr>
      <w:r>
        <w:rPr>
          <w:sz w:val="22"/>
          <w:szCs w:val="22"/>
        </w:rPr>
        <w:t xml:space="preserve">- naissance ou arrivée au foyer d'un enfant en vue de son adoption dès lors que le foyer compte déjà au moins deux enfants à charge ; </w:t>
      </w:r>
    </w:p>
    <w:p w:rsidR="009531B9" w:rsidRDefault="009531B9" w:rsidP="009531B9">
      <w:pPr>
        <w:pStyle w:val="Default"/>
        <w:spacing w:after="17"/>
        <w:rPr>
          <w:sz w:val="22"/>
          <w:szCs w:val="22"/>
        </w:rPr>
      </w:pPr>
      <w:r>
        <w:rPr>
          <w:sz w:val="22"/>
          <w:szCs w:val="22"/>
        </w:rPr>
        <w:t xml:space="preserve">- cessation du contrat de travail, cessation d'activité par l'entrepreneur individuel, fin du mandat social, perte du statut de conjoint collaborateur ou de conjoint associé ; </w:t>
      </w:r>
    </w:p>
    <w:p w:rsidR="009531B9" w:rsidRDefault="009531B9" w:rsidP="009531B9">
      <w:pPr>
        <w:pStyle w:val="Default"/>
        <w:spacing w:after="17"/>
        <w:rPr>
          <w:sz w:val="22"/>
          <w:szCs w:val="22"/>
        </w:rPr>
      </w:pPr>
      <w:r>
        <w:rPr>
          <w:sz w:val="22"/>
          <w:szCs w:val="22"/>
        </w:rPr>
        <w:t xml:space="preserve">- divorce, séparation ou dissolution d'un Pacs lorsqu'ils sont assortis d'un jugement prévoyant la résidence habituelle unique ou partagée d'au moins un enfant au domicile de l'intéressé ; </w:t>
      </w:r>
    </w:p>
    <w:p w:rsidR="009531B9" w:rsidRDefault="009531B9" w:rsidP="009531B9">
      <w:pPr>
        <w:pStyle w:val="Default"/>
        <w:spacing w:after="17"/>
        <w:rPr>
          <w:sz w:val="22"/>
          <w:szCs w:val="22"/>
        </w:rPr>
      </w:pPr>
      <w:r>
        <w:rPr>
          <w:sz w:val="22"/>
          <w:szCs w:val="22"/>
        </w:rPr>
        <w:t xml:space="preserve">- invalidité du salarié, de ses enfants, de son conjoint ou de la personne qui lui est liée par un Pacs, à condition que le taux d'incapacité atteigne au moins 80 % et que l'intéressé n'exerce aucune activité professionnelle ; </w:t>
      </w:r>
    </w:p>
    <w:p w:rsidR="009531B9" w:rsidRDefault="009531B9" w:rsidP="009531B9">
      <w:pPr>
        <w:pStyle w:val="Default"/>
        <w:spacing w:after="17"/>
        <w:rPr>
          <w:sz w:val="22"/>
          <w:szCs w:val="22"/>
        </w:rPr>
      </w:pPr>
      <w:r>
        <w:rPr>
          <w:sz w:val="22"/>
          <w:szCs w:val="22"/>
        </w:rPr>
        <w:t xml:space="preserve">- décès du bénéficiaire, de son conjoint ou de la personne liée par un Pacs ; </w:t>
      </w:r>
    </w:p>
    <w:p w:rsidR="009531B9" w:rsidRDefault="009531B9" w:rsidP="009531B9">
      <w:pPr>
        <w:pStyle w:val="Default"/>
        <w:rPr>
          <w:sz w:val="22"/>
          <w:szCs w:val="22"/>
        </w:rPr>
      </w:pPr>
      <w:r>
        <w:rPr>
          <w:sz w:val="22"/>
          <w:szCs w:val="22"/>
        </w:rPr>
        <w:t xml:space="preserve">- affectation des sommes épargnées à l'acquisition ou agrandissement, sous réserve de l'existence d'un permis de construire de la résidence principale, ou à la remise en état de la résidence principale endommagée à la suite d'une catastrophe nature reconnue par arrêté ministériel ; </w:t>
      </w:r>
    </w:p>
    <w:p w:rsidR="009531B9" w:rsidRDefault="009531B9" w:rsidP="003F35B0">
      <w:pPr>
        <w:pStyle w:val="Default"/>
        <w:tabs>
          <w:tab w:val="left" w:pos="1656"/>
        </w:tabs>
        <w:rPr>
          <w:sz w:val="22"/>
          <w:szCs w:val="22"/>
        </w:rPr>
      </w:pPr>
      <w:bookmarkStart w:id="0" w:name="_GoBack"/>
      <w:bookmarkEnd w:id="0"/>
      <w:r>
        <w:rPr>
          <w:sz w:val="22"/>
          <w:szCs w:val="22"/>
        </w:rPr>
        <w:t xml:space="preserve">- affectation des sommes épargnées à la création ou reprise par le bénéficiaire, ses enfants, son conjoint ou la personne liée par un Pacs d'une entreprise industrielle, commerciale, artisanale ou agricole, soit à titre individuel, soit sous la forme d'une société à condition d'en exercer effectivement le contrôle, ou installation en vue de l'exercice d'une autre profession non salariée ou à l'acquisition de parts sociales d'une SCOP ; </w:t>
      </w:r>
    </w:p>
    <w:p w:rsidR="009531B9" w:rsidRDefault="009531B9" w:rsidP="009531B9">
      <w:pPr>
        <w:pStyle w:val="Default"/>
        <w:spacing w:after="14"/>
        <w:rPr>
          <w:sz w:val="22"/>
          <w:szCs w:val="22"/>
        </w:rPr>
      </w:pPr>
    </w:p>
    <w:p w:rsidR="009531B9" w:rsidRDefault="009531B9" w:rsidP="009531B9">
      <w:pPr>
        <w:pStyle w:val="Default"/>
        <w:rPr>
          <w:sz w:val="22"/>
          <w:szCs w:val="22"/>
        </w:rPr>
      </w:pPr>
      <w:r>
        <w:rPr>
          <w:sz w:val="22"/>
          <w:szCs w:val="22"/>
        </w:rPr>
        <w:t xml:space="preserve">- situation de surendettement du salarié définie à l'article L. 331-2 du code de la consommation sur demande adressée à l'organisation gestionnaire des fonds, à l'employeur par le président de la Commission d'examen des situations de surendettement ou le juge lorsqu'il estime que le déblocage des droits favorise la conclusion, ou est nécessaire à la bonne exécution d'un plan amiable de règlement ou de redressement judiciaire civil.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En outre, les sommes n'atteignant pas 80 € seront payées directement au </w:t>
      </w:r>
      <w:proofErr w:type="gramStart"/>
      <w:r>
        <w:rPr>
          <w:sz w:val="22"/>
          <w:szCs w:val="22"/>
        </w:rPr>
        <w:t>salarié(</w:t>
      </w:r>
      <w:proofErr w:type="gramEnd"/>
      <w:r>
        <w:rPr>
          <w:sz w:val="22"/>
          <w:szCs w:val="22"/>
        </w:rPr>
        <w:t xml:space="preserve">montant fixé par l'arrêté du 10 octobre 2001 applicable à la date de signature du présent accord).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Sauf dans le cas de cessation du contrat de travail, de décès, d'invalidité et de surendettement pour lesquels le salarié peut demander à tout moment la liquidation de ses droits, les demandes doivent être présentées dans le délai de 6 mois à compter du fait générateur. En cas de décès, il appartient aux ayants droit de demander la liquidation des droits.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Lorsqu'un salarié, titulaire d'une créance sur la réserve spéciale de participation quitte l'entreprise sans faire valoir ses droits à déblocage ou avant que l'entreprise soit en mesure de liquider à la date de son départ, la totalité des droits dont il est titulaire, il lui est remis un état récapitulatif qui indique outre l'identification du bénéficiaire, la description de ses avoirs acquis, la date à laquelle seront répartis les droits éventuels au titre de l'exercice en cours. </w:t>
      </w:r>
    </w:p>
    <w:p w:rsidR="009531B9" w:rsidRDefault="009531B9" w:rsidP="009531B9">
      <w:pPr>
        <w:pStyle w:val="Default"/>
        <w:rPr>
          <w:sz w:val="22"/>
          <w:szCs w:val="22"/>
        </w:rPr>
      </w:pPr>
      <w:r>
        <w:rPr>
          <w:sz w:val="22"/>
          <w:szCs w:val="22"/>
        </w:rPr>
        <w:lastRenderedPageBreak/>
        <w:t xml:space="preserve">Il lui est, en outre, demandé de préciser l'adresse à laquelle doivent lui être envoyés les avis de mise en paiement des dividendes, des échéances, des intérêts, des titres remboursables et des avoirs devenus disponibles.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En cas de changement d'adresse, il appartient au bénéficiaire d'en aviser la Direction en temps utile.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Conformément aux mentions figurant sur le livret d'épargne salariale, il est en effet rappelé que si le salarié ne peut être atteint, à la date d'exigibilité, à la dernière adresse indiquée par lui, les sommes et droits lui revenant sont tenus à sa disposition par l'entreprise pendant une durée d'un an à compter de la date d'expiration du délai d'indisponibilité. Passé ce délai, ils sont remis à la caisse des dépôts et de consignations où il peut les réclamer jusqu'au terme de la prescription trentenaire. </w:t>
      </w:r>
    </w:p>
    <w:p w:rsidR="009531B9" w:rsidRDefault="009531B9" w:rsidP="009531B9">
      <w:pPr>
        <w:pStyle w:val="Default"/>
        <w:rPr>
          <w:sz w:val="22"/>
          <w:szCs w:val="22"/>
        </w:rPr>
      </w:pPr>
    </w:p>
    <w:p w:rsidR="009531B9" w:rsidRDefault="009531B9" w:rsidP="009531B9">
      <w:pPr>
        <w:pStyle w:val="Default"/>
        <w:rPr>
          <w:sz w:val="22"/>
          <w:szCs w:val="22"/>
        </w:rPr>
      </w:pPr>
      <w:r>
        <w:rPr>
          <w:sz w:val="22"/>
          <w:szCs w:val="22"/>
        </w:rPr>
        <w:t xml:space="preserve">Si lors de son départ, le salarié souhaite transférer les sommes qu'il détient au titre de la participation dans un plan d'épargne de son nouvel employeur, il doit indiquer à la société les avoirs acquis qu'il souhaite voir transférer, leur nouvelle affectation ainsi que le nom et l'adresse de son nouvel employeur et de l'établissement teneur de compte. </w:t>
      </w:r>
    </w:p>
    <w:p w:rsidR="009531B9" w:rsidRDefault="009531B9" w:rsidP="009531B9">
      <w:pPr>
        <w:tabs>
          <w:tab w:val="left" w:pos="2160"/>
        </w:tabs>
      </w:pPr>
    </w:p>
    <w:sectPr w:rsidR="009531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EB" w:rsidRDefault="00050AEB" w:rsidP="009531B9">
      <w:pPr>
        <w:spacing w:after="0" w:line="240" w:lineRule="auto"/>
      </w:pPr>
      <w:r>
        <w:separator/>
      </w:r>
    </w:p>
  </w:endnote>
  <w:endnote w:type="continuationSeparator" w:id="0">
    <w:p w:rsidR="00050AEB" w:rsidRDefault="00050AEB" w:rsidP="0095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9" w:rsidRDefault="009531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9" w:rsidRDefault="009531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9" w:rsidRDefault="009531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EB" w:rsidRDefault="00050AEB" w:rsidP="009531B9">
      <w:pPr>
        <w:spacing w:after="0" w:line="240" w:lineRule="auto"/>
      </w:pPr>
      <w:r>
        <w:separator/>
      </w:r>
    </w:p>
  </w:footnote>
  <w:footnote w:type="continuationSeparator" w:id="0">
    <w:p w:rsidR="00050AEB" w:rsidRDefault="00050AEB" w:rsidP="00953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9" w:rsidRDefault="009531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9" w:rsidRPr="009531B9" w:rsidRDefault="009531B9" w:rsidP="009531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9" w:rsidRDefault="009531B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B9"/>
    <w:rsid w:val="00050AEB"/>
    <w:rsid w:val="003F35B0"/>
    <w:rsid w:val="007C5CDC"/>
    <w:rsid w:val="009531B9"/>
    <w:rsid w:val="00FE3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C0CE"/>
  <w15:chartTrackingRefBased/>
  <w15:docId w15:val="{6BEA5867-F8E2-4A2C-87B4-98195B34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531B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9531B9"/>
    <w:pPr>
      <w:tabs>
        <w:tab w:val="center" w:pos="4536"/>
        <w:tab w:val="right" w:pos="9072"/>
      </w:tabs>
      <w:spacing w:after="0" w:line="240" w:lineRule="auto"/>
    </w:pPr>
  </w:style>
  <w:style w:type="character" w:customStyle="1" w:styleId="En-tteCar">
    <w:name w:val="En-tête Car"/>
    <w:basedOn w:val="Policepardfaut"/>
    <w:link w:val="En-tte"/>
    <w:uiPriority w:val="99"/>
    <w:rsid w:val="009531B9"/>
  </w:style>
  <w:style w:type="paragraph" w:styleId="Pieddepage">
    <w:name w:val="footer"/>
    <w:basedOn w:val="Normal"/>
    <w:link w:val="PieddepageCar"/>
    <w:uiPriority w:val="99"/>
    <w:unhideWhenUsed/>
    <w:rsid w:val="009531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Pierre</dc:creator>
  <cp:keywords/>
  <dc:description/>
  <cp:lastModifiedBy>Catherine Pierre</cp:lastModifiedBy>
  <cp:revision>2</cp:revision>
  <dcterms:created xsi:type="dcterms:W3CDTF">2020-11-09T14:34:00Z</dcterms:created>
  <dcterms:modified xsi:type="dcterms:W3CDTF">2020-11-09T14:37:00Z</dcterms:modified>
</cp:coreProperties>
</file>